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  <w:rtl w:val="0"/>
        </w:rPr>
        <w:t xml:space="preserve">Introduction to SPRINT 60-day PNS: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  <w:rtl w:val="0"/>
        </w:rPr>
        <w:t xml:space="preserve">Overview, Evidence &amp; Clinical Application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  <w:rtl w:val="0"/>
        </w:rPr>
        <w:t xml:space="preserve">Wednesday, October 22nd, 2025 - 6:30 </w:t>
      </w:r>
      <w:r w:rsidDel="00000000" w:rsidR="00000000" w:rsidRPr="00000000">
        <w:rPr>
          <w:b w:val="1"/>
          <w:smallCaps w:val="1"/>
          <w:rtl w:val="0"/>
        </w:rPr>
        <w:t xml:space="preserve">pm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  <w:rtl w:val="0"/>
        </w:rPr>
        <w:t xml:space="preserve"> PST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373545"/>
          <w:sz w:val="24"/>
          <w:szCs w:val="24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545"/>
          <w:sz w:val="24"/>
          <w:szCs w:val="24"/>
          <w:rtl w:val="0"/>
        </w:rPr>
        <w:t xml:space="preserve">Moderated by Jackie Weisbein,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ffe599" w:space="0" w:sz="4" w:val="single"/>
          <w:left w:color="ffe599" w:space="0" w:sz="4" w:val="single"/>
          <w:bottom w:color="ffe599" w:space="0" w:sz="4" w:val="single"/>
          <w:right w:color="ffe599" w:space="0" w:sz="4" w:val="single"/>
          <w:insideH w:color="ffe599" w:space="0" w:sz="4" w:val="single"/>
          <w:insideV w:color="ffe599" w:space="0" w:sz="4" w:val="single"/>
        </w:tblBorders>
        <w:tblLayout w:type="fixed"/>
        <w:tblLook w:val="0600"/>
      </w:tblPr>
      <w:tblGrid>
        <w:gridCol w:w="1455"/>
        <w:gridCol w:w="4665"/>
        <w:gridCol w:w="3435"/>
        <w:tblGridChange w:id="0">
          <w:tblGrid>
            <w:gridCol w:w="1455"/>
            <w:gridCol w:w="4665"/>
            <w:gridCol w:w="3435"/>
          </w:tblGrid>
        </w:tblGridChange>
      </w:tblGrid>
      <w:tr>
        <w:trPr>
          <w:cantSplit w:val="1"/>
          <w:tblHeader w:val="0"/>
        </w:trPr>
        <w:tc>
          <w:tcPr>
            <w:shd w:fill="6a92ab" w:val="clear"/>
            <w:vAlign w:val="center"/>
          </w:tcPr>
          <w:p w:rsidR="00000000" w:rsidDel="00000000" w:rsidP="00000000" w:rsidRDefault="00000000" w:rsidRPr="00000000" w14:paraId="00000006">
            <w:pPr>
              <w:spacing w:before="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a92ab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Lecture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a92ab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5 minutes</w:t>
            </w:r>
          </w:p>
        </w:tc>
        <w:tc>
          <w:tcPr>
            <w:tcBorders>
              <w:top w:color="ffe599" w:space="0" w:sz="8" w:val="single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0" w:lineRule="auto"/>
              <w:ind w:left="4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Welcome/Introduction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Jackie Weisbein, DO</w:t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15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Clinical Evidence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Victoria Flower, MSN, APRN, PHN, NP-C</w:t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15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Patient Selection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Jennifer Torok, MSN, NP-C</w:t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10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Procedure Overview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Theresa Mallick-Searle, MS, PMGT-BC, ANP-BC, FAANP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10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0" w:lineRule="auto"/>
              <w:ind w:left="4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Q&amp;A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All Panelists</w:t>
            </w:r>
          </w:p>
        </w:tc>
      </w:tr>
      <w:tr>
        <w:trPr>
          <w:cantSplit w:val="1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3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0" w:lineRule="auto"/>
              <w:ind w:left="4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Closing Remarks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Jackie Weisbein, DO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72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81138" cy="1481138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1481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23988" cy="1189660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1189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lqosxXo0lOMJUX1yMWpZ7WxhQ==">CgMxLjA4AHIhMV9ON0xJSHhMU2l1dm9RUWUtUVJDZlVsVzhxVEotZVJI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